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after="0" w:line="460" w:lineRule="exact"/>
        <w:outlineLvl w:val="9"/>
        <w:rPr>
          <w:rFonts w:ascii="黑体" w:hAnsi="黑体" w:eastAsia="黑体" w:cs="黑体"/>
          <w:color w:val="000008"/>
          <w:spacing w:val="-19"/>
        </w:rPr>
      </w:pPr>
      <w:r>
        <w:rPr>
          <w:rFonts w:hint="eastAsia" w:ascii="黑体" w:hAnsi="黑体" w:eastAsia="黑体" w:cs="黑体"/>
          <w:color w:val="000008"/>
          <w:spacing w:val="-19"/>
        </w:rPr>
        <w:t>附件</w:t>
      </w:r>
      <w:r>
        <w:rPr>
          <w:rFonts w:hint="eastAsia" w:ascii="黑体" w:hAnsi="黑体" w:eastAsia="黑体" w:cs="黑体"/>
          <w:color w:val="000008"/>
          <w:spacing w:val="-48"/>
        </w:rPr>
        <w:t xml:space="preserve"> </w:t>
      </w:r>
      <w:r>
        <w:rPr>
          <w:rFonts w:hint="eastAsia" w:ascii="黑体" w:hAnsi="黑体" w:eastAsia="黑体" w:cs="黑体"/>
          <w:color w:val="000008"/>
          <w:spacing w:val="-19"/>
        </w:rPr>
        <w:t>1</w:t>
      </w:r>
    </w:p>
    <w:p>
      <w:pPr>
        <w:spacing w:line="460" w:lineRule="exact"/>
        <w:jc w:val="center"/>
        <w:outlineLvl w:val="9"/>
        <w:rPr>
          <w:rFonts w:ascii="方正小标宋简体" w:hAnsi="方正小标宋简体" w:eastAsia="方正小标宋简体" w:cs="方正小标宋简体"/>
          <w:color w:val="000008"/>
          <w:spacing w:val="9"/>
        </w:rPr>
      </w:pPr>
    </w:p>
    <w:p>
      <w:pPr>
        <w:spacing w:afterLines="50" w:line="460" w:lineRule="exact"/>
        <w:jc w:val="center"/>
        <w:outlineLvl w:val="9"/>
        <w:rPr>
          <w:rFonts w:ascii="黑体" w:hAnsi="黑体" w:eastAsia="黑体" w:cs="黑体"/>
          <w:color w:val="000008"/>
          <w:spacing w:val="-19"/>
        </w:rPr>
      </w:pPr>
      <w:r>
        <w:rPr>
          <w:rFonts w:hint="eastAsia" w:ascii="方正小标宋简体" w:hAnsi="方正小标宋简体" w:eastAsia="方正小标宋简体" w:cs="方正小标宋简体"/>
          <w:color w:val="000008"/>
          <w:spacing w:val="9"/>
        </w:rPr>
        <w:t>濮阳科技职业学院教学事故分类与等级</w:t>
      </w:r>
    </w:p>
    <w:tbl>
      <w:tblPr>
        <w:tblStyle w:val="8"/>
        <w:tblW w:w="893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8"/>
        <w:gridCol w:w="623"/>
        <w:gridCol w:w="7223"/>
        <w:gridCol w:w="69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exact"/>
          <w:jc w:val="center"/>
        </w:trPr>
        <w:tc>
          <w:tcPr>
            <w:tcW w:w="398" w:type="dxa"/>
            <w:vAlign w:val="center"/>
          </w:tcPr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8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623" w:type="dxa"/>
            <w:vAlign w:val="center"/>
          </w:tcPr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000008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8"/>
                <w:spacing w:val="-6"/>
                <w:sz w:val="24"/>
                <w:szCs w:val="24"/>
              </w:rPr>
              <w:t>事故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8"/>
                <w:spacing w:val="-6"/>
                <w:sz w:val="24"/>
                <w:szCs w:val="24"/>
              </w:rPr>
              <w:t>类别</w:t>
            </w:r>
          </w:p>
        </w:tc>
        <w:tc>
          <w:tcPr>
            <w:tcW w:w="7223" w:type="dxa"/>
            <w:vAlign w:val="center"/>
          </w:tcPr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8"/>
                <w:spacing w:val="-6"/>
                <w:sz w:val="24"/>
                <w:szCs w:val="24"/>
              </w:rPr>
              <w:t>事故现象</w:t>
            </w:r>
          </w:p>
        </w:tc>
        <w:tc>
          <w:tcPr>
            <w:tcW w:w="692" w:type="dxa"/>
            <w:vAlign w:val="center"/>
          </w:tcPr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8"/>
                <w:spacing w:val="-14"/>
                <w:sz w:val="24"/>
                <w:szCs w:val="24"/>
              </w:rPr>
              <w:t>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86" w:hRule="exact"/>
          <w:jc w:val="center"/>
        </w:trPr>
        <w:tc>
          <w:tcPr>
            <w:tcW w:w="398" w:type="dxa"/>
            <w:vMerge w:val="restart"/>
            <w:tcBorders>
              <w:bottom w:val="nil"/>
            </w:tcBorders>
            <w:vAlign w:val="center"/>
          </w:tcPr>
          <w:p>
            <w:pPr>
              <w:pStyle w:val="10"/>
              <w:spacing w:before="104" w:line="186" w:lineRule="auto"/>
              <w:ind w:left="92"/>
              <w:jc w:val="center"/>
              <w:outlineLvl w:val="9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</w:rPr>
              <w:t>1</w:t>
            </w:r>
          </w:p>
        </w:tc>
        <w:tc>
          <w:tcPr>
            <w:tcW w:w="623" w:type="dxa"/>
            <w:vMerge w:val="restart"/>
            <w:tcBorders>
              <w:bottom w:val="nil"/>
            </w:tcBorders>
            <w:vAlign w:val="center"/>
          </w:tcPr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6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</w:rPr>
              <w:t>课前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6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</w:rPr>
              <w:t>准备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6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</w:rPr>
              <w:t>课后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</w:rPr>
              <w:t>辅导</w:t>
            </w: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（1）未在规定时间内制定出教学进度表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  <w:jc w:val="center"/>
        </w:trPr>
        <w:tc>
          <w:tcPr>
            <w:tcW w:w="39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（2）开课时未按要求编写课程教案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  <w:jc w:val="center"/>
        </w:trPr>
        <w:tc>
          <w:tcPr>
            <w:tcW w:w="39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（3）授课计划安排与课程标准要求不符达 1/3 及以</w:t>
            </w:r>
            <w:bookmarkStart w:id="0" w:name="_GoBack"/>
            <w:bookmarkEnd w:id="0"/>
            <w:r>
              <w:rPr>
                <w:rFonts w:hint="eastAsia" w:ascii="仿宋_GB2312" w:hAnsi="仿宋_GB2312" w:cs="仿宋_GB2312"/>
                <w:sz w:val="24"/>
                <w:szCs w:val="24"/>
              </w:rPr>
              <w:t>上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  <w:jc w:val="center"/>
        </w:trPr>
        <w:tc>
          <w:tcPr>
            <w:tcW w:w="39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（4）实际教学进程与授课计划有明显差距，超过 6 学时及以上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  <w:jc w:val="center"/>
        </w:trPr>
        <w:tc>
          <w:tcPr>
            <w:tcW w:w="39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（5）整学期未布置作业或未按规定批改作业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86" w:hRule="exact"/>
          <w:jc w:val="center"/>
        </w:trPr>
        <w:tc>
          <w:tcPr>
            <w:tcW w:w="398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（6）所任课程一学期未按规定进行课后辅导答疑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  <w:jc w:val="center"/>
        </w:trPr>
        <w:tc>
          <w:tcPr>
            <w:tcW w:w="398" w:type="dxa"/>
            <w:vMerge w:val="restart"/>
            <w:vAlign w:val="center"/>
          </w:tcPr>
          <w:p>
            <w:pPr>
              <w:spacing w:line="259" w:lineRule="auto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59" w:lineRule="auto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59" w:lineRule="auto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60" w:lineRule="auto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60" w:lineRule="auto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60" w:lineRule="auto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pStyle w:val="10"/>
              <w:spacing w:before="104" w:line="186" w:lineRule="auto"/>
              <w:ind w:left="84"/>
              <w:jc w:val="center"/>
              <w:outlineLvl w:val="9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</w:rPr>
              <w:t>2</w:t>
            </w:r>
          </w:p>
        </w:tc>
        <w:tc>
          <w:tcPr>
            <w:tcW w:w="623" w:type="dxa"/>
            <w:vMerge w:val="restart"/>
            <w:vAlign w:val="center"/>
          </w:tcPr>
          <w:p>
            <w:pPr>
              <w:spacing w:line="255" w:lineRule="auto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55" w:lineRule="auto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55" w:lineRule="auto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55" w:lineRule="auto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pStyle w:val="10"/>
              <w:spacing w:before="104" w:line="332" w:lineRule="auto"/>
              <w:ind w:left="63" w:right="138"/>
              <w:jc w:val="center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</w:rPr>
            </w:pP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6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</w:rPr>
              <w:t>课堂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</w:rPr>
              <w:t>教学</w:t>
            </w: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（1）上课未携带教学必备材料（教材、教案、课堂情况记录表等）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86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（2）上课未组织学生考勤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（3）上课迟到、早退或中途离岗 10 分钟以内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（4）上课期间进行与课堂无关的手机通话或信息接发等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（5）非身体原因或授课需要以坐姿上课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（6）上课期间学生玩手机、睡觉等人数达总人数 1/3 并不进行管理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（7）长时间讲授与课程无关的内容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86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（8）经常出现明显知识性错误而未及时纠正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86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（9）歧视、挖苦、辱骂、体罚学生等行为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（10）未经师生所在学院同意擅自缺课、停课、请人代课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一级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（11）未经师生所在学院同意擅自调整上课时间和地点、减少学时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（12）衣冠不整、妆容穿戴夸张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86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（13）对学生实施体罚或殴打，使学生受到严重身心伤害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二级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（14）擅自更改专业人才培养方案、课程标准等要求的教学内容或教学进度达学期授课计划 1/4 以上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二级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（15）传播违反法律规定或教师职业道德等内容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一级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74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（16）调课后未按照学校具体要求和调课申请时间进行补课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一级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（17）无故旷课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一级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exact"/>
          <w:jc w:val="center"/>
        </w:trPr>
        <w:tc>
          <w:tcPr>
            <w:tcW w:w="398" w:type="dxa"/>
            <w:vMerge w:val="restart"/>
            <w:vAlign w:val="center"/>
          </w:tcPr>
          <w:p>
            <w:pPr>
              <w:spacing w:line="241" w:lineRule="auto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1" w:lineRule="auto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1" w:lineRule="auto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1" w:lineRule="auto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1" w:lineRule="auto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1" w:lineRule="auto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1" w:lineRule="auto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2" w:lineRule="auto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pStyle w:val="10"/>
              <w:spacing w:before="104" w:line="186" w:lineRule="auto"/>
              <w:ind w:left="97"/>
              <w:jc w:val="center"/>
              <w:outlineLvl w:val="9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</w:rPr>
              <w:t>3</w:t>
            </w:r>
          </w:p>
        </w:tc>
        <w:tc>
          <w:tcPr>
            <w:tcW w:w="623" w:type="dxa"/>
            <w:vMerge w:val="restart"/>
            <w:vAlign w:val="center"/>
          </w:tcPr>
          <w:p>
            <w:pPr>
              <w:spacing w:line="255" w:lineRule="auto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55" w:lineRule="auto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55" w:lineRule="auto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55" w:lineRule="auto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55" w:lineRule="auto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55" w:lineRule="auto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56" w:lineRule="auto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6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</w:rPr>
              <w:t>实践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</w:rPr>
              <w:t>教学</w:t>
            </w: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（1）未按要求制定实训任务计划、专业实习方案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（2）擅自变更实习实训内容及进度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74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（3）组织实践教学时，出现学生打架斗殴或其它严重违纪事件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（4）未按照规定开展实习前全员培训、安全教育等工作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widowControl/>
              <w:spacing w:line="300" w:lineRule="exact"/>
              <w:jc w:val="lef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（5）因工作失误（准备不当、指导错误、违反操作规范、对学生要求不严、擅离岗位等），造成公共财产损失（五千 至一万元）或学生受伤就医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83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widowControl/>
              <w:spacing w:line="300" w:lineRule="exact"/>
              <w:jc w:val="lef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（6）未按规定指导学生实习，或纵容学生虚假实习、随意为学生实习考核赋分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900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widowControl/>
              <w:spacing w:line="300" w:lineRule="exact"/>
              <w:jc w:val="lef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（7）因工作失误（准备不当、指导错误、违反操作规范、对学生要求不严、擅离岗位等），造成公共财产损失（一至 三万元）或学生受伤住院治疗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二级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widowControl/>
              <w:spacing w:line="300" w:lineRule="exact"/>
              <w:jc w:val="lef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（8）因工作失误（准备不当、指导错误、违反操作规范、对学生要求不严、擅离岗位等），导致造成公共财产损失（三 万元以上）或学生伤亡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一级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5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widowControl/>
              <w:spacing w:line="300" w:lineRule="exact"/>
              <w:jc w:val="lef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（9）未按流程及时在实习备案管理平台操作，耽误学生实习进度并影响其毕业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一级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63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（10）未及时处理学生实习问题反映，造成舆论等负面影响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一级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（11）未按照学生实习管理办法迅速、及时开展突发事件处置工作，并造成严重后果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一级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restart"/>
            <w:vAlign w:val="center"/>
          </w:tcPr>
          <w:p>
            <w:pPr>
              <w:spacing w:line="244" w:lineRule="auto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pStyle w:val="10"/>
              <w:spacing w:before="104" w:line="186" w:lineRule="auto"/>
              <w:ind w:left="83"/>
              <w:jc w:val="center"/>
              <w:outlineLvl w:val="9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</w:rPr>
              <w:t>4</w:t>
            </w:r>
          </w:p>
        </w:tc>
        <w:tc>
          <w:tcPr>
            <w:tcW w:w="623" w:type="dxa"/>
            <w:vMerge w:val="restart"/>
            <w:vAlign w:val="center"/>
          </w:tcPr>
          <w:p>
            <w:pPr>
              <w:spacing w:line="243" w:lineRule="auto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6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4"/>
              </w:rPr>
              <w:t>考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</w:rPr>
              <w:t>核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</w:rPr>
              <w:t>管理</w:t>
            </w: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（1）擅自变更考试时间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（2）未在考试开始前解决考试组织工作问题，以致影响考试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（3）未经同意擅自委托他人代替监考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63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（4）监考迟到或中途离岗 10 分钟以内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（5）监考时坐姿</w:t>
            </w:r>
            <w:r>
              <w:rPr>
                <w:rFonts w:hint="eastAsia" w:ascii="仿宋_GB2312" w:hAnsi="仿宋_GB2312" w:cs="仿宋_GB2312"/>
                <w:spacing w:val="-11"/>
                <w:sz w:val="24"/>
                <w:szCs w:val="24"/>
              </w:rPr>
              <w:t>、闲聊、看书、睡觉、使用手机或处理监考无关事务等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（6）监考时未执行监考守则、帮助学生舞弊行为或隐瞒不报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（7）命题不及时，影响考试按期进行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（8）所命题试卷中出现错误 3 处及以上并影响正常考试秩序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（9）所命题试卷内容偏离教学大纲、教学基本要求或与近两年该课程考题形同超过 30%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623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（10）所命题试卷内容和份量不当，致使开考半小时内半数学生完成答题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（11）因工作失误在试卷命题、印制、保管和传送等过程中泄密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（12）任意更改试卷成绩或不按参考答案和评分标准判卷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（13）录入学生成绩错误达到 10%以上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（14）未能按时按要求批改、送回试卷或录入成绩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（15）未通知或通知不及时，导致学生不能正常参加补考等活动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二级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（16）造成考试组织工作问题，导致重新考试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二级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（17）刻意在试卷命题、印制、保管和传送等过程中泄密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二级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63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（18）监考迟到或中途离岗 15 分钟及以上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二级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（19）缺少试卷命题、存档等审核工作环节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二级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（20）无故缺席监考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一级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63" w:hRule="exact"/>
          <w:jc w:val="center"/>
        </w:trPr>
        <w:tc>
          <w:tcPr>
            <w:tcW w:w="3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before="104" w:line="183" w:lineRule="auto"/>
              <w:ind w:left="88"/>
              <w:jc w:val="center"/>
              <w:outlineLvl w:val="9"/>
              <w:rPr>
                <w:rFonts w:ascii="仿宋_GB2312" w:hAnsi="仿宋_GB2312" w:eastAsia="仿宋_GB2312" w:cs="仿宋_GB2312"/>
                <w:color w:val="000008"/>
              </w:rPr>
            </w:pPr>
          </w:p>
          <w:p>
            <w:pPr>
              <w:pStyle w:val="10"/>
              <w:spacing w:before="104" w:line="183" w:lineRule="auto"/>
              <w:ind w:left="88"/>
              <w:jc w:val="center"/>
              <w:outlineLvl w:val="9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</w:rPr>
              <w:t>5</w:t>
            </w:r>
          </w:p>
        </w:tc>
        <w:tc>
          <w:tcPr>
            <w:tcW w:w="623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0" w:lineRule="auto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6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</w:rPr>
              <w:t>教学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</w:rPr>
              <w:t>管理</w:t>
            </w:r>
          </w:p>
        </w:tc>
        <w:tc>
          <w:tcPr>
            <w:tcW w:w="7223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（1）未经学校批准，擅自调整、变更专业人才培养方案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（2）未按时录入教务系统应开课程或错排课表，影响正常教学秩序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（3）变更上课时间地点时因错漏通知使师生错过上课时间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（4）各种教学管理相关统计材料有原则性错误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（5）排课排考工作不当造成教室冲突等原因，致使停课或考试改期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二级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（6）出具虚假学历、学籍、成绩等各类证书、证明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二级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（7）疏于档案管理并造成严重后果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二级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624" w:hRule="exact"/>
          <w:jc w:val="center"/>
        </w:trPr>
        <w:tc>
          <w:tcPr>
            <w:tcW w:w="3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（8）违反规定、弄虚作假，未经上级批准，擅自发放、扣押学生毕业证等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一级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成绩、学籍管理出现严重错误，以致影响学生毕业</w:t>
            </w:r>
          </w:p>
        </w:tc>
        <w:tc>
          <w:tcPr>
            <w:tcW w:w="692" w:type="dxa"/>
            <w:vAlign w:val="center"/>
          </w:tcPr>
          <w:p>
            <w:pPr>
              <w:pStyle w:val="10"/>
              <w:spacing w:before="1" w:line="300" w:lineRule="exact"/>
              <w:ind w:left="73" w:right="52" w:hanging="15"/>
              <w:jc w:val="center"/>
              <w:outlineLvl w:val="9"/>
              <w:rPr>
                <w:rFonts w:ascii="仿宋_GB2312" w:hAnsi="仿宋_GB2312" w:eastAsia="仿宋_GB2312" w:cs="仿宋_GB2312"/>
                <w:color w:val="00000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</w:rPr>
              <w:t>一级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（10）未能按时上报、下发、落实教学工作任务而影响教学秩序</w:t>
            </w:r>
          </w:p>
        </w:tc>
        <w:tc>
          <w:tcPr>
            <w:tcW w:w="692" w:type="dxa"/>
            <w:vAlign w:val="center"/>
          </w:tcPr>
          <w:p>
            <w:pPr>
              <w:pStyle w:val="10"/>
              <w:spacing w:before="1" w:line="300" w:lineRule="exact"/>
              <w:ind w:left="73" w:right="52" w:hanging="15"/>
              <w:jc w:val="center"/>
              <w:outlineLvl w:val="9"/>
              <w:rPr>
                <w:rFonts w:ascii="仿宋_GB2312" w:hAnsi="仿宋_GB2312" w:eastAsia="仿宋_GB2312" w:cs="仿宋_GB2312"/>
                <w:color w:val="00000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</w:rPr>
              <w:t>一级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（11）故意隐瞒教学事故、阻碍调查、拖延不报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一级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pStyle w:val="10"/>
              <w:spacing w:before="104" w:line="186" w:lineRule="auto"/>
              <w:ind w:left="87"/>
              <w:jc w:val="center"/>
              <w:outlineLvl w:val="9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</w:rPr>
              <w:t>6</w:t>
            </w:r>
          </w:p>
        </w:tc>
        <w:tc>
          <w:tcPr>
            <w:tcW w:w="62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6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</w:rPr>
              <w:t>教材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</w:rPr>
              <w:t>管理</w:t>
            </w: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（1）疏于教材管理，以致教材无故发放不到位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（2）选用教材不当（教材内容有 30%以上与课程标准不符）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tcBorders>
              <w:bottom w:val="single" w:color="000000" w:sz="6" w:space="0"/>
            </w:tcBorders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（3）选用教材错误（教材有 50%以上内容与课程标准不符）</w:t>
            </w:r>
          </w:p>
        </w:tc>
        <w:tc>
          <w:tcPr>
            <w:tcW w:w="692" w:type="dxa"/>
            <w:tcBorders>
              <w:bottom w:val="single" w:color="000000" w:sz="6" w:space="0"/>
            </w:tcBorders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二级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tcBorders>
              <w:top w:val="single" w:color="000000" w:sz="6" w:space="0"/>
            </w:tcBorders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（4）漏订、错购教材，严重影响教学</w:t>
            </w:r>
          </w:p>
        </w:tc>
        <w:tc>
          <w:tcPr>
            <w:tcW w:w="692" w:type="dxa"/>
            <w:tcBorders>
              <w:top w:val="single" w:color="000000" w:sz="6" w:space="0"/>
            </w:tcBorders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二级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/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/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（5）选择使用有严重违反国家法律、法规或不健康内容的教材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一级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/>
            <w:vAlign w:val="center"/>
          </w:tcPr>
          <w:p>
            <w:pPr>
              <w:pStyle w:val="10"/>
              <w:spacing w:before="253" w:line="157" w:lineRule="auto"/>
              <w:ind w:left="87"/>
              <w:jc w:val="center"/>
              <w:outlineLvl w:val="9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623" w:type="dxa"/>
            <w:vMerge w:val="continue"/>
            <w:tcBorders/>
            <w:vAlign w:val="center"/>
          </w:tcPr>
          <w:p>
            <w:pPr>
              <w:pStyle w:val="10"/>
              <w:spacing w:before="104" w:line="332" w:lineRule="auto"/>
              <w:ind w:left="63" w:right="138"/>
              <w:jc w:val="center"/>
              <w:outlineLvl w:val="9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（1）未经教务处同意，擅自占用教学场所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（2）未按规定时间开放教室、教师休息室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63" w:hRule="exact"/>
          <w:jc w:val="center"/>
        </w:trPr>
        <w:tc>
          <w:tcPr>
            <w:tcW w:w="398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8"/>
                <w:sz w:val="24"/>
                <w:szCs w:val="24"/>
              </w:rPr>
              <w:t>7</w:t>
            </w:r>
          </w:p>
        </w:tc>
        <w:tc>
          <w:tcPr>
            <w:tcW w:w="623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6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</w:rPr>
              <w:t>教学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</w:rPr>
              <w:t>保障</w:t>
            </w: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（3）未按规定时间有效播放教学楼铃声，影响教学活动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（4）未能及时处理人为原因造成的停电停水而影响教学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（5）维护保养教学相关设备不及时，造成教学楼监控等设施出现问题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（6）接收教学设施报修后，人为原因未及时维修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（7）采购、供应、准备教学用品不及时，影响教学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（8）在教学场所及周围制造噪音，影响其他师生教学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（9）在教学场所及周围卫生环境治理不力，影响教学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（10）未按时开放教学场所超过 10 分钟及以上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二级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  <w:jc w:val="center"/>
        </w:trPr>
        <w:tc>
          <w:tcPr>
            <w:tcW w:w="398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23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（11）因维护不善、保养不善，教学实验仪器等损坏导致学生受伤</w:t>
            </w:r>
          </w:p>
        </w:tc>
        <w:tc>
          <w:tcPr>
            <w:tcW w:w="692" w:type="dxa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一级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3372E7"/>
    <w:rsid w:val="2C3372E7"/>
    <w:rsid w:val="773A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40" w:lineRule="exact"/>
      <w:jc w:val="both"/>
    </w:pPr>
    <w:rPr>
      <w:rFonts w:ascii="楷体_GB2312" w:hAnsi="楷体_GB2312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9"/>
    <w:basedOn w:val="1"/>
    <w:next w:val="4"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  <w:sz w:val="21"/>
      <w:szCs w:val="2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首行缩进两字） + 首行缩进:"/>
    <w:basedOn w:val="1"/>
    <w:next w:val="3"/>
    <w:qFormat/>
    <w:uiPriority w:val="0"/>
    <w:pPr>
      <w:spacing w:line="500" w:lineRule="exact"/>
      <w:ind w:firstLine="200" w:firstLineChars="200"/>
    </w:pPr>
    <w:rPr>
      <w:rFonts w:ascii="Times New Roman" w:hAnsi="Times New Roman"/>
      <w:sz w:val="28"/>
      <w:szCs w:val="20"/>
    </w:rPr>
  </w:style>
  <w:style w:type="paragraph" w:customStyle="1" w:styleId="4">
    <w:name w:val="正文缩进1"/>
    <w:basedOn w:val="1"/>
    <w:qFormat/>
    <w:uiPriority w:val="0"/>
    <w:pPr>
      <w:spacing w:line="240" w:lineRule="auto"/>
      <w:ind w:firstLine="420"/>
    </w:pPr>
    <w:rPr>
      <w:rFonts w:ascii="Calibri" w:hAnsi="Calibri"/>
      <w:sz w:val="28"/>
      <w:szCs w:val="20"/>
    </w:rPr>
  </w:style>
  <w:style w:type="paragraph" w:styleId="5">
    <w:name w:val="Body Text"/>
    <w:basedOn w:val="1"/>
    <w:next w:val="6"/>
    <w:qFormat/>
    <w:uiPriority w:val="0"/>
    <w:pPr>
      <w:spacing w:after="120" w:line="240" w:lineRule="auto"/>
    </w:pPr>
    <w:rPr>
      <w:rFonts w:ascii="Times New Roman" w:hAnsi="Times New Roman" w:eastAsia="宋体" w:cs="Times New Roman"/>
    </w:rPr>
  </w:style>
  <w:style w:type="paragraph" w:customStyle="1" w:styleId="6">
    <w:name w:val="日期1"/>
    <w:basedOn w:val="1"/>
    <w:next w:val="1"/>
    <w:qFormat/>
    <w:uiPriority w:val="0"/>
    <w:pPr>
      <w:spacing w:line="240" w:lineRule="auto"/>
      <w:ind w:left="100" w:leftChars="2500"/>
    </w:pPr>
    <w:rPr>
      <w:rFonts w:ascii="Times New Roman" w:hAnsi="Times New Roman" w:eastAsia="宋体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ahoma" w:hAnsi="Tahoma" w:eastAsia="宋体" w:cs="Times New Roman"/>
      <w:sz w:val="18"/>
      <w:szCs w:val="18"/>
      <w:lang w:val="en-US" w:eastAsia="zh-CN" w:bidi="ar-SA"/>
    </w:rPr>
  </w:style>
  <w:style w:type="paragraph" w:customStyle="1" w:styleId="10">
    <w:name w:val="Table Text"/>
    <w:basedOn w:val="1"/>
    <w:qFormat/>
    <w:uiPriority w:val="0"/>
    <w:pPr>
      <w:spacing w:line="240" w:lineRule="auto"/>
    </w:pPr>
    <w:rPr>
      <w:rFonts w:ascii="宋体" w:hAnsi="宋体" w:eastAsia="宋体" w:cs="宋体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2026-06-17T09:08:00Z</dcterms:created>
  <dc:creator>Administrator</dc:creator>
  <cp:lastModifiedBy>Administrator</cp:lastModifiedBy>
  <dcterms:modified xsi:type="dcterms:W3CDTF">2026-06-17T09:12:09Z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