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overflowPunct w:val="0"/>
        <w:autoSpaceDE w:val="0"/>
        <w:autoSpaceDN w:val="0"/>
        <w:adjustRightInd w:val="0"/>
        <w:snapToGrid w:val="0"/>
        <w:spacing w:line="580" w:lineRule="exact"/>
        <w:textAlignment w:val="baseline"/>
        <w:outlineLvl w:val="9"/>
        <w:rPr>
          <w:rFonts w:ascii="黑体" w:hAnsi="黑体" w:eastAsia="黑体" w:cs="黑体"/>
          <w:spacing w:val="-8"/>
        </w:rPr>
      </w:pPr>
      <w:r>
        <w:rPr>
          <w:rFonts w:hint="eastAsia" w:ascii="黑体" w:hAnsi="黑体" w:eastAsia="黑体" w:cs="黑体"/>
          <w:spacing w:val="-8"/>
        </w:rPr>
        <w:t>附件2</w:t>
      </w:r>
    </w:p>
    <w:p>
      <w:pPr>
        <w:pStyle w:val="5"/>
        <w:overflowPunct w:val="0"/>
        <w:autoSpaceDE w:val="0"/>
        <w:autoSpaceDN w:val="0"/>
        <w:adjustRightInd w:val="0"/>
        <w:snapToGrid w:val="0"/>
        <w:spacing w:after="0" w:line="520" w:lineRule="exact"/>
        <w:jc w:val="center"/>
        <w:textAlignment w:val="baseline"/>
        <w:outlineLvl w:val="9"/>
        <w:rPr>
          <w:rFonts w:ascii="方正小标宋简体" w:hAnsi="方正小标宋简体" w:eastAsia="方正小标宋简体" w:cs="方正小标宋简体"/>
          <w:spacing w:val="-8"/>
          <w:sz w:val="36"/>
          <w:szCs w:val="36"/>
        </w:rPr>
      </w:pPr>
    </w:p>
    <w:p>
      <w:pPr>
        <w:pStyle w:val="5"/>
        <w:overflowPunct w:val="0"/>
        <w:autoSpaceDE w:val="0"/>
        <w:autoSpaceDN w:val="0"/>
        <w:adjustRightInd w:val="0"/>
        <w:snapToGrid w:val="0"/>
        <w:spacing w:after="0" w:line="520" w:lineRule="exact"/>
        <w:jc w:val="center"/>
        <w:textAlignment w:val="baseline"/>
        <w:outlineLvl w:val="9"/>
        <w:rPr>
          <w:rFonts w:ascii="方正小标宋简体" w:hAnsi="方正小标宋简体" w:eastAsia="方正小标宋简体" w:cs="方正小标宋简体"/>
          <w:spacing w:val="-8"/>
          <w:sz w:val="36"/>
          <w:szCs w:val="36"/>
        </w:rPr>
      </w:pPr>
      <w:r>
        <w:rPr>
          <w:rFonts w:hint="eastAsia" w:ascii="方正小标宋简体" w:hAnsi="方正小标宋简体" w:eastAsia="方正小标宋简体" w:cs="方正小标宋简体"/>
          <w:spacing w:val="-8"/>
          <w:sz w:val="36"/>
          <w:szCs w:val="36"/>
        </w:rPr>
        <w:t>濮阳科技职业学院</w:t>
      </w:r>
    </w:p>
    <w:p>
      <w:pPr>
        <w:pStyle w:val="5"/>
        <w:overflowPunct w:val="0"/>
        <w:autoSpaceDE w:val="0"/>
        <w:autoSpaceDN w:val="0"/>
        <w:adjustRightInd w:val="0"/>
        <w:snapToGrid w:val="0"/>
        <w:spacing w:after="0" w:line="520" w:lineRule="exact"/>
        <w:jc w:val="center"/>
        <w:textAlignment w:val="baseline"/>
        <w:outlineLvl w:val="9"/>
        <w:rPr>
          <w:rFonts w:hint="eastAsia" w:ascii="方正小标宋简体" w:hAnsi="方正小标宋简体" w:eastAsia="方正小标宋简体" w:cs="方正小标宋简体"/>
          <w:spacing w:val="-8"/>
          <w:sz w:val="36"/>
          <w:szCs w:val="36"/>
        </w:rPr>
      </w:pPr>
      <w:r>
        <w:rPr>
          <w:rFonts w:hint="eastAsia" w:ascii="方正小标宋简体" w:hAnsi="方正小标宋简体" w:eastAsia="方正小标宋简体" w:cs="方正小标宋简体"/>
          <w:spacing w:val="-8"/>
          <w:sz w:val="36"/>
          <w:szCs w:val="36"/>
        </w:rPr>
        <w:t>学生实习突发事件应急预案</w:t>
      </w:r>
    </w:p>
    <w:p>
      <w:pPr>
        <w:pStyle w:val="5"/>
        <w:overflowPunct w:val="0"/>
        <w:autoSpaceDE w:val="0"/>
        <w:autoSpaceDN w:val="0"/>
        <w:adjustRightInd w:val="0"/>
        <w:snapToGrid w:val="0"/>
        <w:spacing w:after="0" w:line="520" w:lineRule="exact"/>
        <w:jc w:val="center"/>
        <w:textAlignment w:val="baseline"/>
        <w:outlineLvl w:val="9"/>
        <w:rPr>
          <w:rFonts w:hint="eastAsia" w:ascii="仿宋_GB2312" w:hAnsi="仿宋_GB2312" w:eastAsia="仿宋_GB2312" w:cs="仿宋_GB2312"/>
          <w:sz w:val="30"/>
          <w:szCs w:val="30"/>
        </w:rPr>
      </w:pPr>
      <w:r>
        <w:rPr>
          <w:rFonts w:hint="eastAsia" w:ascii="仿宋_GB2312" w:hAnsi="仿宋_GB2312" w:eastAsia="仿宋_GB2312" w:cs="仿宋_GB2312"/>
          <w:spacing w:val="-8"/>
          <w:sz w:val="30"/>
          <w:szCs w:val="30"/>
        </w:rPr>
        <w:t>（试行）</w:t>
      </w:r>
    </w:p>
    <w:p>
      <w:pPr>
        <w:overflowPunct w:val="0"/>
        <w:autoSpaceDE w:val="0"/>
        <w:autoSpaceDN w:val="0"/>
        <w:adjustRightInd w:val="0"/>
        <w:snapToGrid w:val="0"/>
        <w:spacing w:line="520" w:lineRule="exact"/>
        <w:ind w:firstLine="600" w:firstLineChars="200"/>
        <w:textAlignment w:val="baseline"/>
        <w:outlineLvl w:val="9"/>
        <w:rPr>
          <w:rFonts w:ascii="仿宋_GB2312" w:hAnsi="仿宋_GB2312" w:cs="仿宋_GB2312"/>
          <w:sz w:val="30"/>
          <w:szCs w:val="30"/>
        </w:rPr>
      </w:pP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为及时有效处置学生实习过程中发生的突发事故以及由此引发的次生事故。提高学生实习突发事件快速反应和处置能力，最大限度地降低突发事件的危害，确保实习秩序稳定</w:t>
      </w:r>
      <w:bookmarkStart w:id="0" w:name="_GoBack"/>
      <w:bookmarkEnd w:id="0"/>
      <w:r>
        <w:rPr>
          <w:rFonts w:hint="eastAsia" w:ascii="仿宋_GB2312" w:hAnsi="仿宋_GB2312" w:eastAsia="仿宋_GB2312" w:cs="仿宋_GB2312"/>
          <w:sz w:val="30"/>
          <w:szCs w:val="30"/>
        </w:rPr>
        <w:t>，特制定本预案。</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一、指导思想</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pacing w:val="-6"/>
          <w:sz w:val="30"/>
          <w:szCs w:val="30"/>
        </w:rPr>
      </w:pPr>
      <w:r>
        <w:rPr>
          <w:rFonts w:hint="eastAsia" w:ascii="仿宋_GB2312" w:hAnsi="仿宋_GB2312" w:eastAsia="仿宋_GB2312" w:cs="仿宋_GB2312"/>
          <w:sz w:val="30"/>
          <w:szCs w:val="30"/>
        </w:rPr>
        <w:t>建立学生安全应急处理机制，迅速、及时、积极地开展学生实习突发事件处置工作，</w:t>
      </w:r>
      <w:r>
        <w:rPr>
          <w:rFonts w:hint="eastAsia" w:ascii="仿宋_GB2312" w:hAnsi="仿宋_GB2312" w:eastAsia="仿宋_GB2312" w:cs="仿宋_GB2312"/>
          <w:spacing w:val="-6"/>
          <w:sz w:val="30"/>
          <w:szCs w:val="30"/>
        </w:rPr>
        <w:t>最大限度地降低损失，有效保障师生实习安全。</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二、组织机构</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（一）成立学生实习突发事件应急处置工作领导小组</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组长：党委书记、校长</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副组长：主管教学、学生、安全、校企合作工作校领导</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成员：教务处、学生工作处、校企合作中心负责人、各二级学负责人、实习指导教师、辅导员等。</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实习突发事件应急处置工作领导小组下设办公室，办公室设在教务处，办公室主任由教务处负责人担任。</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（二）领导小组的主要责任</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负责指导相关部门落实实习相关规章制度，提出处理各项安全突发事件的意见和具体措施；负责指挥、处理实习期间各类安全突发事件；负责向上级及有关部门报告情况；积极配合有关部门开展应急救助工作；配合有关部门确定事件的性质并对有关责任人进行责任追究。</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三、突发事件的预防措施</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（一）加强安全警示教育工作</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各二级学院指导学生增强安全防范意识，结合课程情况对学生开展日常安全教育和职业安全教育。</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（二）坚持“安全第一”原则</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各二级学院在实习开始前要强调安全注意事项和纪律要求，并在实习中做好定期督导检查工作。</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四、突发事件应急预案响应程序</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（一）应急识别</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当下列情况发生时，应判定为应急事故、事件，启动应急机制。包括：火灾、爆炸、食物中毒、溺水事故、交通事故、自然灾害事故、实习人员突发急病、打架、盗窃、实习人员走失、失踪及重大舆情等。</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（二）事件处置</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1.特大事件（I级）</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发生死亡、特大安全事故、特大刑事案件或群体性事件应判定为特大事件。事件发生后：</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第一，实习单位要立即向相关学院进行报告，并指派人员在第一时间赶赴现场，做好学生思想工作，维持秩序，及时了解、汇报事故情况；做好现场信息的收集及现场人员谈话记录、签字等工作。</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第二，相关学院向学校应急处置工作领导小组报告事故情况，并在第一时间指派人员赶赴现场，进一步详细了解事故发生情况，做好相关人员思想工作，采取有效措施防止事态进一步扩大。</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第三，学校应急处置工作领导小组领导要亲自赶赴现场，根据事故发生情况研究处置办法，协助相关部门（公安、消防等）做好善后工作。</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2.重大事故（II级）</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发生重大人身伤害事件、一般刑事案件、较大安全事故、实习人员突发抢救性急病、实习人员失踪等应判定为重大事件。事件发生后：</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第一，实习单位要立即向相关学院进行报告，并指派人员在第一时间赶赴现场，做好学生思想工作，维持秩序，及时了解、汇报事故情况；做好现场信息的收集及现场人员谈话记录、签字等工作。</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第二，相关学院向学校应急处置工作领导小组报告事故情况，并在第一时间赶赴现场，详细了解事故发生情况，做好相关人员思想工作，研究处置办法报学校应急处置工作领导小组同意后实施。</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第三，学校应急处置工作领导小组要跟踪了解事故情况，协助、指导工作人员进行应急处置，必要时工作领导小组领导亲自赶赴现场。</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3.一般事故（III级）</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发生一般安全事故、一般伤害事件、实习人员走失等事件应判定为一般事件。事件发生后：</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第一，实习单位要立即向相关学院进行报告，并指派人员在第一时间赶赴现场，及时了解、汇报事故情况。</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第二，相关学院要及时了解事故情况并向学校汇报，必要时指派人员赶赴现场。</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第三，学校应急处置工作领导小组要跟踪了解事故情况，协助、指导相关学院进行应急处置，必要时指派人员赶赴现场。</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五、调查与责任追究</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（一）违反学校实习管理办法</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按情节分别给予纪律处分和行政处分，触犯法律的依法承担民事或刑事责任。</w:t>
      </w:r>
    </w:p>
    <w:p>
      <w:pPr>
        <w:pStyle w:val="5"/>
        <w:overflowPunct w:val="0"/>
        <w:autoSpaceDE w:val="0"/>
        <w:autoSpaceDN w:val="0"/>
        <w:adjustRightInd w:val="0"/>
        <w:snapToGrid w:val="0"/>
        <w:spacing w:after="0" w:line="520" w:lineRule="exact"/>
        <w:ind w:firstLine="600" w:firstLineChars="200"/>
        <w:textAlignment w:val="baseline"/>
        <w:outlineLvl w:val="9"/>
        <w:rPr>
          <w:rFonts w:ascii="楷体_GB2312" w:hAnsi="楷体_GB2312" w:eastAsia="楷体_GB2312" w:cs="楷体_GB2312"/>
          <w:sz w:val="30"/>
          <w:szCs w:val="30"/>
        </w:rPr>
      </w:pPr>
      <w:r>
        <w:rPr>
          <w:rFonts w:hint="eastAsia" w:ascii="楷体_GB2312" w:hAnsi="楷体_GB2312" w:eastAsia="楷体_GB2312" w:cs="楷体_GB2312"/>
          <w:sz w:val="30"/>
          <w:szCs w:val="30"/>
        </w:rPr>
        <w:t>（二）突发事故事件处置结束</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参与事故、事件的处置人员，应如实向法定部门或有关部门陈述所知事实，并配合调查处理。故意隐瞒、歪曲事实真相，触犯刑律的，要依法追究刑事责任。</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rPr>
        <w:t>六、事故、事件调查报告</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rPr>
      </w:pPr>
      <w:r>
        <w:rPr>
          <w:rFonts w:hint="eastAsia" w:ascii="仿宋_GB2312" w:hAnsi="仿宋_GB2312" w:eastAsia="仿宋_GB2312" w:cs="仿宋_GB2312"/>
          <w:sz w:val="30"/>
          <w:szCs w:val="30"/>
        </w:rPr>
        <w:t>突发事故、事件调查处理后，相关学院应撰写《突发事故、事件报告》,报送学校应急处置工作领导小组。报告应包括：事故事件性质、发生原因分析、现场处置措施、事故事件责任、纠正预防措施等。</w:t>
      </w:r>
    </w:p>
    <w:p>
      <w:pPr>
        <w:pStyle w:val="5"/>
        <w:overflowPunct w:val="0"/>
        <w:autoSpaceDE w:val="0"/>
        <w:autoSpaceDN w:val="0"/>
        <w:adjustRightInd w:val="0"/>
        <w:snapToGrid w:val="0"/>
        <w:spacing w:after="0" w:line="520" w:lineRule="exact"/>
        <w:ind w:firstLine="600" w:firstLineChars="200"/>
        <w:textAlignment w:val="baseline"/>
        <w:outlineLvl w:val="9"/>
        <w:rPr>
          <w:rFonts w:ascii="黑体" w:hAnsi="黑体" w:eastAsia="黑体" w:cs="黑体"/>
          <w:sz w:val="30"/>
          <w:szCs w:val="30"/>
        </w:rPr>
      </w:pPr>
      <w:r>
        <w:rPr>
          <w:rFonts w:hint="eastAsia" w:ascii="黑体" w:hAnsi="黑体" w:eastAsia="黑体" w:cs="黑体"/>
          <w:sz w:val="30"/>
          <w:szCs w:val="30"/>
          <w:lang w:eastAsia="en-US"/>
        </w:rPr>
        <w:t>七、</w:t>
      </w:r>
      <w:r>
        <w:rPr>
          <w:rFonts w:hint="eastAsia" w:ascii="黑体" w:hAnsi="黑体" w:eastAsia="黑体" w:cs="黑体"/>
          <w:sz w:val="30"/>
          <w:szCs w:val="30"/>
        </w:rPr>
        <w:t>附则</w:t>
      </w:r>
    </w:p>
    <w:p>
      <w:pPr>
        <w:pStyle w:val="5"/>
        <w:overflowPunct w:val="0"/>
        <w:autoSpaceDE w:val="0"/>
        <w:autoSpaceDN w:val="0"/>
        <w:adjustRightInd w:val="0"/>
        <w:snapToGrid w:val="0"/>
        <w:spacing w:after="0" w:line="520" w:lineRule="exact"/>
        <w:ind w:firstLine="600" w:firstLineChars="200"/>
        <w:textAlignment w:val="baseline"/>
        <w:outlineLvl w:val="9"/>
        <w:rPr>
          <w:rFonts w:ascii="仿宋_GB2312" w:hAnsi="仿宋_GB2312" w:eastAsia="仿宋_GB2312" w:cs="仿宋_GB2312"/>
          <w:sz w:val="30"/>
          <w:szCs w:val="30"/>
          <w:lang w:eastAsia="en-US"/>
        </w:rPr>
      </w:pPr>
      <w:r>
        <w:rPr>
          <w:rFonts w:hint="eastAsia" w:ascii="仿宋_GB2312" w:hAnsi="仿宋_GB2312" w:eastAsia="仿宋_GB2312" w:cs="仿宋_GB2312"/>
          <w:sz w:val="30"/>
          <w:szCs w:val="30"/>
          <w:lang w:eastAsia="en-US"/>
        </w:rPr>
        <w:t>本预案自公布之日起执行，由学校学生实习突发事件应急处置工作领导小组负责解释。</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F761A"/>
    <w:rsid w:val="589F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40" w:lineRule="exact"/>
      <w:jc w:val="both"/>
    </w:pPr>
    <w:rPr>
      <w:rFonts w:ascii="楷体_GB2312" w:hAnsi="楷体_GB2312" w:eastAsia="仿宋_GB2312" w:cs="Times New Roman"/>
      <w:kern w:val="2"/>
      <w:sz w:val="32"/>
      <w:szCs w:val="32"/>
      <w:lang w:val="en-US" w:eastAsia="zh-CN" w:bidi="ar-SA"/>
    </w:rPr>
  </w:style>
  <w:style w:type="paragraph" w:styleId="3">
    <w:name w:val="heading 9"/>
    <w:basedOn w:val="1"/>
    <w:next w:val="4"/>
    <w:qFormat/>
    <w:uiPriority w:val="0"/>
    <w:pPr>
      <w:keepNext/>
      <w:keepLines/>
      <w:spacing w:before="240" w:after="64" w:line="317" w:lineRule="auto"/>
      <w:outlineLvl w:val="8"/>
    </w:pPr>
    <w:rPr>
      <w:rFonts w:ascii="Arial" w:hAnsi="Arial" w:eastAsia="黑体"/>
      <w:sz w:val="21"/>
      <w:szCs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首行缩进两字） + 首行缩进:"/>
    <w:basedOn w:val="1"/>
    <w:next w:val="3"/>
    <w:qFormat/>
    <w:uiPriority w:val="0"/>
    <w:pPr>
      <w:spacing w:line="500" w:lineRule="exact"/>
      <w:ind w:firstLine="200" w:firstLineChars="200"/>
    </w:pPr>
    <w:rPr>
      <w:rFonts w:ascii="Times New Roman" w:hAnsi="Times New Roman"/>
      <w:sz w:val="28"/>
      <w:szCs w:val="20"/>
    </w:rPr>
  </w:style>
  <w:style w:type="paragraph" w:customStyle="1" w:styleId="4">
    <w:name w:val="正文缩进1"/>
    <w:basedOn w:val="1"/>
    <w:qFormat/>
    <w:uiPriority w:val="0"/>
    <w:pPr>
      <w:spacing w:line="240" w:lineRule="auto"/>
      <w:ind w:firstLine="420"/>
    </w:pPr>
    <w:rPr>
      <w:rFonts w:ascii="Calibri" w:hAnsi="Calibri"/>
      <w:sz w:val="28"/>
      <w:szCs w:val="20"/>
    </w:rPr>
  </w:style>
  <w:style w:type="paragraph" w:styleId="5">
    <w:name w:val="Body Text"/>
    <w:basedOn w:val="1"/>
    <w:next w:val="6"/>
    <w:qFormat/>
    <w:uiPriority w:val="0"/>
    <w:pPr>
      <w:spacing w:after="120" w:line="240" w:lineRule="auto"/>
    </w:pPr>
    <w:rPr>
      <w:rFonts w:ascii="Times New Roman" w:hAnsi="Times New Roman" w:eastAsia="宋体" w:cs="Times New Roman"/>
    </w:rPr>
  </w:style>
  <w:style w:type="paragraph" w:customStyle="1" w:styleId="6">
    <w:name w:val="日期1"/>
    <w:basedOn w:val="1"/>
    <w:next w:val="1"/>
    <w:qFormat/>
    <w:uiPriority w:val="0"/>
    <w:pPr>
      <w:spacing w:line="240" w:lineRule="auto"/>
      <w:ind w:left="100" w:leftChars="2500"/>
    </w:pPr>
    <w:rPr>
      <w:rFonts w:ascii="Times New Roman" w:hAnsi="Times New Roman" w:eastAsia="宋体" w:cs="Times New Roman"/>
    </w:rPr>
  </w:style>
  <w:style w:type="paragraph" w:styleId="7">
    <w:name w:val="footer"/>
    <w:basedOn w:val="1"/>
    <w:qFormat/>
    <w:uiPriority w:val="0"/>
    <w:pPr>
      <w:tabs>
        <w:tab w:val="center" w:pos="4153"/>
        <w:tab w:val="right" w:pos="8306"/>
      </w:tabs>
      <w:snapToGrid w:val="0"/>
      <w:jc w:val="left"/>
    </w:pPr>
    <w:rPr>
      <w:rFonts w:ascii="Tahoma" w:hAnsi="Tahoma"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2026-06-18T08:54:00Z</dcterms:created>
  <dc:creator>Administrator</dc:creator>
  <cp:lastModifiedBy>Administrator</cp:lastModifiedBy>
  <dcterms:modified xsi:type="dcterms:W3CDTF">2026-06-18T08:54:47Z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